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9C" w:rsidRDefault="00CB62C8">
      <w:pPr>
        <w:rPr>
          <w:rFonts w:ascii="Arial" w:hAnsi="Arial" w:cs="Arial"/>
          <w:sz w:val="20"/>
          <w:szCs w:val="20"/>
        </w:rPr>
      </w:pPr>
      <w:r w:rsidRPr="00D8605B">
        <w:rPr>
          <w:rFonts w:ascii="Arial" w:hAnsi="Arial" w:cs="Arial"/>
          <w:sz w:val="20"/>
          <w:szCs w:val="20"/>
        </w:rPr>
        <w:t xml:space="preserve">Liste des publications </w:t>
      </w:r>
      <w:r w:rsidR="00610779">
        <w:rPr>
          <w:rFonts w:ascii="Arial" w:hAnsi="Arial" w:cs="Arial"/>
          <w:sz w:val="20"/>
          <w:szCs w:val="20"/>
        </w:rPr>
        <w:t xml:space="preserve">scientifiques </w:t>
      </w:r>
      <w:r w:rsidRPr="00D8605B">
        <w:rPr>
          <w:rFonts w:ascii="Arial" w:hAnsi="Arial" w:cs="Arial"/>
          <w:sz w:val="20"/>
          <w:szCs w:val="20"/>
        </w:rPr>
        <w:t>à comité de lecture utilisant les sites du SOERE PRO ou des jeux de données acquis sur les sites du SOERE PRO</w:t>
      </w: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5103"/>
        <w:gridCol w:w="7088"/>
        <w:gridCol w:w="1276"/>
        <w:gridCol w:w="1701"/>
      </w:tblGrid>
      <w:tr w:rsidR="00D02A99" w:rsidRPr="00F47C62" w:rsidTr="00B27DF3">
        <w:trPr>
          <w:trHeight w:val="170"/>
        </w:trPr>
        <w:tc>
          <w:tcPr>
            <w:tcW w:w="5103" w:type="dxa"/>
            <w:shd w:val="clear" w:color="auto" w:fill="31849B" w:themeFill="accent5" w:themeFillShade="BF"/>
            <w:vAlign w:val="center"/>
          </w:tcPr>
          <w:p w:rsidR="00CB62C8" w:rsidRPr="00F47C62" w:rsidRDefault="00CB62C8" w:rsidP="00B27DF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47C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Auteurs</w:t>
            </w:r>
          </w:p>
        </w:tc>
        <w:tc>
          <w:tcPr>
            <w:tcW w:w="7088" w:type="dxa"/>
            <w:shd w:val="clear" w:color="auto" w:fill="31849B" w:themeFill="accent5" w:themeFillShade="BF"/>
            <w:vAlign w:val="center"/>
          </w:tcPr>
          <w:p w:rsidR="00CB62C8" w:rsidRPr="00F47C62" w:rsidRDefault="00CB62C8" w:rsidP="00B27DF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47C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Titre, journal, pages</w:t>
            </w:r>
          </w:p>
        </w:tc>
        <w:tc>
          <w:tcPr>
            <w:tcW w:w="1276" w:type="dxa"/>
            <w:shd w:val="clear" w:color="auto" w:fill="31849B" w:themeFill="accent5" w:themeFillShade="BF"/>
            <w:vAlign w:val="center"/>
          </w:tcPr>
          <w:p w:rsidR="00CB62C8" w:rsidRPr="00F47C62" w:rsidRDefault="00CB62C8" w:rsidP="00B27DF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47C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Année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:rsidR="00CB62C8" w:rsidRPr="00F47C62" w:rsidRDefault="00CB62C8" w:rsidP="00B27DF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47C6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Site(s) du SOERE PRO</w:t>
            </w:r>
          </w:p>
        </w:tc>
      </w:tr>
      <w:tr w:rsidR="00592E48" w:rsidRPr="00F47C62" w:rsidTr="00E06527">
        <w:trPr>
          <w:trHeight w:val="170"/>
        </w:trPr>
        <w:tc>
          <w:tcPr>
            <w:tcW w:w="5103" w:type="dxa"/>
          </w:tcPr>
          <w:p w:rsidR="00592E48" w:rsidRPr="00F47C62" w:rsidRDefault="009D7212" w:rsidP="009D7212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Abis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 L.</w:t>
            </w:r>
            <w:r w:rsidRPr="00F47C62">
              <w:rPr>
                <w:rFonts w:ascii="Arial" w:hAnsi="Arial" w:cs="Arial"/>
                <w:sz w:val="18"/>
                <w:szCs w:val="18"/>
              </w:rPr>
              <w:t>, Loubet</w:t>
            </w:r>
            <w:r w:rsidRPr="00F47C62">
              <w:rPr>
                <w:rFonts w:ascii="Arial" w:hAnsi="Arial" w:cs="Arial"/>
                <w:sz w:val="18"/>
                <w:szCs w:val="18"/>
              </w:rPr>
              <w:t>, B.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Ciuraru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R.,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Lafouge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 F.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S.,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Nowak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V.,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Tripied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J.,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Dequiedt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S.,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Maron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P.A., </w:t>
            </w:r>
            <w:r w:rsidRPr="00F47C62">
              <w:rPr>
                <w:rFonts w:ascii="Arial" w:hAnsi="Arial" w:cs="Arial"/>
                <w:sz w:val="18"/>
                <w:szCs w:val="18"/>
              </w:rPr>
              <w:t>Sadet-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Bourgeteau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>, S.</w:t>
            </w:r>
          </w:p>
        </w:tc>
        <w:tc>
          <w:tcPr>
            <w:tcW w:w="7088" w:type="dxa"/>
          </w:tcPr>
          <w:p w:rsidR="00592E48" w:rsidRPr="00F47C62" w:rsidRDefault="009D7212" w:rsidP="00526AD7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Reduced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microbial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diversity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induces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larger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volatile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organic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compound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emissions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from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soils</w:t>
            </w:r>
            <w:proofErr w:type="spellEnd"/>
            <w:r w:rsidRPr="00F47C62">
              <w:rPr>
                <w:rStyle w:val="lev"/>
                <w:rFonts w:ascii="Arial" w:hAnsi="Arial" w:cs="Arial"/>
                <w:b w:val="0"/>
                <w:sz w:val="18"/>
                <w:szCs w:val="18"/>
              </w:rPr>
              <w:t>,</w:t>
            </w:r>
            <w:r w:rsidRPr="00F47C62">
              <w:rPr>
                <w:rStyle w:val="lev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iCs/>
                <w:sz w:val="18"/>
                <w:szCs w:val="18"/>
              </w:rPr>
              <w:t>Sci</w:t>
            </w:r>
            <w:proofErr w:type="spellEnd"/>
            <w:r w:rsidRPr="00F47C6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iCs/>
                <w:sz w:val="18"/>
                <w:szCs w:val="18"/>
              </w:rPr>
              <w:t>Rep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10, </w:t>
            </w:r>
            <w:r w:rsidRPr="00F47C62">
              <w:rPr>
                <w:rFonts w:ascii="Arial" w:hAnsi="Arial" w:cs="Arial"/>
                <w:sz w:val="18"/>
                <w:szCs w:val="18"/>
              </w:rPr>
              <w:t>6104 (2020). https://doi.org/10.1038/s41598-020-63091-8</w:t>
            </w:r>
          </w:p>
        </w:tc>
        <w:tc>
          <w:tcPr>
            <w:tcW w:w="1276" w:type="dxa"/>
          </w:tcPr>
          <w:p w:rsidR="00592E48" w:rsidRPr="00F47C62" w:rsidRDefault="009D7212" w:rsidP="00526AD7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592E48" w:rsidRPr="00F47C62" w:rsidRDefault="009D7212" w:rsidP="00526AD7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Michaud, A.M., Cambier, P.,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Sappin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-Didier, V,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Deltreil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V., Mercier, V., Rampon, J.N.,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S.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Mass balance and long-term soil accumulation of trace elements in arable crop systems amended with urban composts or cattle manure during 17 years. Environ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Sci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Pollut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Res 27, 5367–5386 (2020). https://doi.org/10.1007/s11356-019-07166-8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Cambier, P., Michaud, 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Paradelo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R., Germain, M.,  Mercier, V., Guérin-Lebourg, 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Revallier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S.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Trace metal availability in soil horizons amended with various urban waste composts during 17 years – Monitoring and modelling. Science of the Total Environment 651 (2019) 2961–2974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Clivot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H.,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Mouny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J.-C.,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Duparque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A., Dinh J.-L.,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Denoroy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P.,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Vertès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F.,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Trochard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R.,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Bouthier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Sagot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S., Mary B.,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Modeling soil organic carbon evolution in long-term arable experiments with AMG model. Environmental Modelling and Software, 2019, 118, 99-113.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Isch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A.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Montenach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D.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Hammel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F.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Ackerer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P. ; Coquet, Y.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A Comparative Study of Water and Bromide Transport in a Bare Loam Soil Using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Lysimeters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and Field Plots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Water, 2019, 11 (6) : 1-25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Kyulavski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Vladislav,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Recous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Sylvie, Garnier Patricia,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Paillat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Jean-Marie,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Thuriès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Laurent. 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Application of N fertilizer to sugarcane mulches: Consequences for the dynamics of mulch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decomposition and CO2 and N2O fluxes.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BioEnergy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Research, 12 (3) : 484-496.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Kyulavski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Vladislav,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Recous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Sylvie,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Thuriès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Laurent,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Paillat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Jean-Marie, Garnier Patricia. 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Investigating interactions between sugarcane straw and organic fertilizers recycled together in a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soil using modelling of C and N mineralization. European Journal of Soil Science, 70 (6</w:t>
            </w:r>
            <w:proofErr w:type="gram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) :</w:t>
            </w:r>
            <w:proofErr w:type="gram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1234-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1248.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Paradelo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R., Eden M.,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Martínez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I., Keller T.,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Soil physical properties of a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Luvisol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developed on loess after 15 years of amendment with compost. Soil &amp; Tillage Research 191 (2019) 207–215.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Sadet-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Bourgeteau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Karimi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B. ; Mathieu, O. ; Mercier, V.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Montenach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D. ; Morvan, T.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Sappin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-Didier, V. ; Watteau, F.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Nowak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V.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Dequiedt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 ;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Maron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P.-A.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Microbial communities from different soil types respond differently to organic waste input. Applied Soil Ecology 143 (2019) 70–79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Couhins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, La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Bouzule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Soltani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I., Fouad Y., Michot D.,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Pichelin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P.,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Cudennec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C.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Relevance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ofa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nearinfrared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spectralindex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for assessing tillage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andfertilization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effects on soil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waterretention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. Soil and Tillage Research, 194(2019), 104345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Abis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L., Loubet, B.,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Ciuraru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R.,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Lafouge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F.,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Dequiedt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S., Houot, S.,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Maron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P.A.,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Bourgeteau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-Sadet, S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Profiles of volatile organic compound emissions from soils amended with organic waste products. Science of the Total Environment 636 (2018) 1333–1343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Andriamala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Vieublé-Gonod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L.,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Dumény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V., Cambier, P.,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Fate of sulfamethoxazole, its main metabolite N-ac-sulfamethoxazole and ciprofloxacin in agricultural soils amended or not by organic waste products, Chemosphere 191 (2018) 607-615.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Brimo K, Ouvrard S,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Lafolie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F, Garnier P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Modelling the fate of PAH added with composts in amended soil according to the origin of the exogenous organic matter.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Science of the Total Environment 616–617 (2018) 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658–668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Dimassi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B,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Guenet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B, P.A.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Saby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N, Munoz F,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Bardy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M, Millet F, P. Martin M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The impacts of CENTURY model initialization scenarios on soil organic carbon dynamics simulation in French long-term experiments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Geoderma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311 (2018) 25–36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Nobile Cécile,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Bravin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Matthieu,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Tillard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Emmanuel, Becquer Thierry,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Paillat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Jean-Marie. 2018.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Phosphorus sorption capacity and availability along a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toposequence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of agricultural soils: Effects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of soil type and a decade of fertilizer applications. Soil Use and Management, 34 (4) : 461-471.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Sadet-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Bourgeteau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S., Houot, S.,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Dequiedt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Nowak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V.,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Tardy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V.,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Terrat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S., Montenach, D., Mercier, V.,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Karimi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B.,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Chemidlin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N., Prévost-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Bouré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Maron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P.A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Lasting effect of repeated application of organic waste products on microbial communities in arable soils.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Applied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Soil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Ecology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125 (2018) 278–287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Sterckeman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T.,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Gossiaux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L.,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Guimont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S.,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Sirguey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, C., Lin, Z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Cadmium mass balance in French soils under annual crops: Scenarios for the next century. Science of the Total Environment 639 (2018) 1440–1452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PROspective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Watteau, F.,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Dignac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MF., Bouchard, A.,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Revallier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, A., &amp; Houot, S.,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Microplastic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detection in soil amended with municipal solid waste composts as revealed by microscopy and pyrolysis/GC/MS. Article, submitted to Frontiers in Sustainable Food Systems, section Waste Management in Agroecosystems.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2018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Bourdat-Deschamps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et al.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Fate and impacts of pharmaceuticals and personal care products after repeated applications of organic waste products in long-term field experiments Science of the Total Environment 607–608 (2017) 271–280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PROsepective</w:t>
            </w:r>
            <w:proofErr w:type="spellEnd"/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Réunion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Eden M, H.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Gerke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H,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S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Organic waste recycling in agriculture and related impacts on soil water retention and plant available water: a review.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Agron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. Sustain. Dev. (2017) 37:11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Goulas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A,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Bourdat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-Deschamps M,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Nélieu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Jimenez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J,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Patureau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D,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Haudin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C.S, Benoit P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Development of a soft extraction method for sulfamethoxazole and transformation products from agricultural soils: Effects of organic matter co-extraction on the environmental availability assessment. Science of the Total Environment 607–608 (2017) 1037–1048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796471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Noirot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-Cosson P.E,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Dhaouadi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K,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Etievant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V,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Vaudour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E, Houot S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Parameterisation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of the NCSOIL model to simulate C and N short-term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mineralisation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of exogenous organic matters in different soils. Soil Biology and Biochemistry 104, (2017), 128-140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796471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 xml:space="preserve">Potard K,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Monard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C, Le Garrec JL, Caudal JP, Le Bris N, Binet F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Organic amendment practices as possible drivers of biogenic Volatile Organic Compounds emitted by soils in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agrosystems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. Agriculture, Ecosystems and Environment, 250, 25−36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EFELE</w:t>
            </w:r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T.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Vanden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Nest, B.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Vandecasteele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G.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Ruysschaert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, R. Merckx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Prediction of P concentrations in soil leachates: Results from 6 long term field trials on soils with a high P load. Agriculture, Ecosystems and Environment 237 (2017) 55–65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>Aemiq</w:t>
            </w:r>
            <w:proofErr w:type="spellEnd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 xml:space="preserve"> Q,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Chéron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C,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Delgenès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N,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Jimenez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J,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Steyer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JP,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Patureau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Distribution of Polycyclic Aromatic Hydrocarbons (PAHs) in sludge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organic matter pools as a driving force of their fate during anaerobic</w:t>
            </w:r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digestion. Waste Management, 48, 389-396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Beaumelle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L, Vile D, Lamy I,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Vandenbulcke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F, Gimbert F,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Hedde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A structural equation model of soil metal bioavailability to earthworms: confronting causal theory and observations following laboratory exposure to field-contaminated soils</w:t>
            </w:r>
            <w:r w:rsidRPr="00F47C62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 xml:space="preserve"> 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Science of the Total Environment 569–570, 961–972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color w:val="131413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>Chabauty</w:t>
            </w:r>
            <w:proofErr w:type="spellEnd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 xml:space="preserve"> F, Pot V, </w:t>
            </w:r>
            <w:proofErr w:type="spellStart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>Bourdat</w:t>
            </w:r>
            <w:proofErr w:type="spellEnd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 xml:space="preserve">-Deschamps M, </w:t>
            </w:r>
            <w:proofErr w:type="spellStart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>Bernet</w:t>
            </w:r>
            <w:proofErr w:type="spellEnd"/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 xml:space="preserve"> N, </w:t>
            </w:r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color w:val="131413"/>
                <w:sz w:val="18"/>
                <w:szCs w:val="18"/>
              </w:rPr>
              <w:t>Labat C, Benoit P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Transport of organic contaminants in subsoil horizons and effects of dissolved organic matter related to organic waste recycling practices </w:t>
            </w:r>
            <w:r w:rsidRPr="00F47C6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Environ. Sci. </w:t>
            </w:r>
            <w:proofErr w:type="spellStart"/>
            <w:r w:rsidRPr="00F47C6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Pollut</w:t>
            </w:r>
            <w:proofErr w:type="spellEnd"/>
            <w:r w:rsidRPr="00F47C6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. Res., 23:6907–6918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Deredjian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Alliot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N, Blanchard L,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Brothier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E,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Anane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Cambier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P,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Jolivet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C,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Khelil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M.N,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Nazaret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Saby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N,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>Thioulouse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J, Favre-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Bonté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S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Occurrence of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Stenotrophomonas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maltophilia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in agricultural soils and</w:t>
            </w:r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antibiotic resistance properties Research in Microbiology 167 (2016) 313-324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Ferhi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Bourdat-Deschamps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Daudin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JJ,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Nélieu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Factors influencing the extraction of pharmaceuticals from sewage sludge and soil: an experimental design approach. </w:t>
            </w:r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Analytical and Bioanalytical Chemistry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, 408 (22), 6153-6188.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PRO’spective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Filipović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V, Cambier P,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Filipović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L, Coquet Y, Pot V,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Bodineau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G,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Jaulin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A, Mercier V, Houot S, Benoit P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Modeling Copper and Cadmium    Mobility in an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Albeluvisol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Amended with Urban Waste Composts,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Vadose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Zone Journal. Vol. 15,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Iss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. 12, 2016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Filipović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V, Coquet Y,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Pot V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 S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Benoit P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Modeling water and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isoproturon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dynamics in a heterogeneous soil profile under different urban waste compost applications. </w:t>
            </w:r>
            <w:proofErr w:type="spellStart"/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Geoderma</w:t>
            </w:r>
            <w:proofErr w:type="spellEnd"/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,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268, 29-40. 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Goulas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A., CS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Haudin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V.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Bergheaud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V.Dumeny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S.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Ferhi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S.Nelieu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, M.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Bourdat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-Deschamps, P. Benoit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A new extraction method to assess the environmental availability of</w:t>
            </w:r>
          </w:p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ciprofloxacin in agricultural soils amended with exogenous organic</w:t>
            </w:r>
          </w:p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Matter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Chemosphere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165 , 460-469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Noirot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>-Cosson PE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Vaudour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Gilliot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JM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>Gabrielle B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>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Modelling the long-term effect of urban waste compost applications on carbon and nitrogen dynamics in temperate cropland. </w:t>
            </w:r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Soil Biology and Biochemistry,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94, 138-153.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Obriot</w:t>
            </w:r>
            <w:proofErr w:type="spellEnd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F, Stauffer M, </w:t>
            </w:r>
            <w:proofErr w:type="spellStart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Goubard</w:t>
            </w:r>
            <w:proofErr w:type="spellEnd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Y, </w:t>
            </w:r>
            <w:proofErr w:type="spellStart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Cheviron</w:t>
            </w:r>
            <w:proofErr w:type="spellEnd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N, Peres G, Eden M, </w:t>
            </w:r>
            <w:proofErr w:type="spellStart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Revallier</w:t>
            </w:r>
            <w:proofErr w:type="spellEnd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A, </w:t>
            </w:r>
            <w:proofErr w:type="spellStart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Vieublé-Gonod</w:t>
            </w:r>
            <w:proofErr w:type="spellEnd"/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L, 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Style w:val="Lienhypertexte"/>
                <w:rFonts w:ascii="Arial" w:hAnsi="Arial" w:cs="Arial"/>
                <w:color w:val="000000" w:themeColor="text1"/>
                <w:sz w:val="18"/>
                <w:szCs w:val="18"/>
                <w:u w:val="none"/>
                <w:lang w:val="en-US"/>
              </w:rPr>
              <w:t xml:space="preserve">Multi-criteria indices to evaluate the effects of repeated organic amendment applications on soil and crop quality. </w:t>
            </w:r>
            <w:r w:rsidRPr="00F47C62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  <w:t>Agriculture, Ecosystems and Environment,</w:t>
            </w:r>
            <w:r w:rsidRPr="00F47C6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232, 165-178.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Paetsch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L, Mueller CW,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Rumpel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Kögel-Knabner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Urban waste composts enhance OC and N stocks after long-term amendment but do not alter organic matter composition. </w:t>
            </w:r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Agriculture, Ecosystems and Environment,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223, 211-222.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Sauzet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O,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Cammas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C, Barbillon P, Etienne MP, Montagne D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Illuviation intensity and land use change: Quantification via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micromorphological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analysis.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Geoderma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266, 46-57.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Vanden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Nest T,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Ruysschaert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G,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Vandecasteele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B,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Baken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S, Smolders E,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Cougnon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Reheul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D, Merckx R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The long term use of Farmyard manure and compost: effects on P availability, orthophosphate sorption strength and P leaching. </w:t>
            </w:r>
            <w:r w:rsidRPr="00F47C62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  <w:t>Agriculture, Ecosystems and Environment,</w:t>
            </w:r>
            <w:r w:rsidRPr="00F47C6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216, 23-33.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Vieublé-Gonod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L, El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>Arfaoui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A, Benoit P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Impact of spatial distribution of exogenous organic matter on C mineralization and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isoproturon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fate in soil </w:t>
            </w:r>
            <w:proofErr w:type="spellStart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Soil</w:t>
            </w:r>
            <w:proofErr w:type="spellEnd"/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Biology &amp; Biochemistry 95 (2016) 180-188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  <w:t>2016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Beaumelle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L,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Gimbert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F,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Hedde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Guerin A,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Lamy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7088" w:type="dxa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Subcellular partitioning of metals in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Aporrectodea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caliginosa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along a gradient of metal exposure in 31 field-contaminated soils Science of the Total Environment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520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, 136-145</w:t>
            </w:r>
          </w:p>
        </w:tc>
        <w:tc>
          <w:tcPr>
            <w:tcW w:w="1276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701" w:type="dxa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Jagercikova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Cornu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Bourles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D, Antoine P, Mayor M,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Guillou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Understanding long-term soil processes using 10Be: a first attempt on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loessic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deposits. Quaternary Geochronology, 27 : 11-21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2015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Jimenez J,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Aemig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Q,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Doussiet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N.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Steyer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JP,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Patureau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A new organic matter fractionation methodology for organic wastes: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Bioaccessibility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and complexity characterization for treatment optimization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Bioresource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Technology, 194 : 344-354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2015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Donnée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PROs</w:t>
            </w:r>
          </w:p>
        </w:tc>
      </w:tr>
      <w:tr w:rsidR="00F066CD" w:rsidRPr="00F47C62" w:rsidTr="00E0652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Ricci F,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Bentze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L, Montagne D, Houot S, Bertrand M, Pelosi C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Positive effects of alternative cropping systems on terrestrial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Oligochaeta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Clitellata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, Annelida). Soil Organisms 87, 71-83.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2015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Beaumelle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L, Lamy I,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Cheviron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N,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Hedde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M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Is there a relationship between earthworm energy reserves and metal availability after exposure to old contaminated soils? Environmental Pollution, 191, 182-189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14293D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Bérard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A,  C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Mazzia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VSappin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-Didier, L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Capowiez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 Y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Capowiez</w:t>
            </w:r>
            <w:proofErr w:type="spellEnd"/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Use of the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MicroResp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™ method to assess Pollution-Induced Community Tolerance in the context of metal soil contamination. Ecological Indicators. Volume 40, May 2014, Pages 27–33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Couhins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Bourdat</w:t>
            </w:r>
            <w:proofErr w:type="spellEnd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-Deschamps M, </w:t>
            </w:r>
            <w:proofErr w:type="spellStart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Leang</w:t>
            </w:r>
            <w:proofErr w:type="spellEnd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S, </w:t>
            </w:r>
            <w:proofErr w:type="spellStart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Bernet</w:t>
            </w:r>
            <w:proofErr w:type="spellEnd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N, </w:t>
            </w:r>
            <w:proofErr w:type="spellStart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Daudin</w:t>
            </w:r>
            <w:proofErr w:type="spellEnd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JJ, </w:t>
            </w:r>
            <w:proofErr w:type="spellStart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Nélieu</w:t>
            </w:r>
            <w:proofErr w:type="spellEnd"/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Multi-residue analysis of pharmaceuticals in aqueous environmental samples by online solid-phase extraction–ultra-high-performance liquid chromatography-tandem mass </w:t>
            </w:r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lastRenderedPageBreak/>
              <w:t>spectrometry: Optimization and matrix effects reduction by quick, easy, cheap, effective, rugged and safe extraction. Journal of Chromatography A, 1349, 11-23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eastAsia="en-US"/>
              </w:rPr>
              <w:lastRenderedPageBreak/>
              <w:t xml:space="preserve">Cambier P, Pot V, Mercier V, Michaud A, Benoit P,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eastAsia="en-US"/>
              </w:rPr>
              <w:t>Revallier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eastAsia="en-US"/>
              </w:rPr>
              <w:t xml:space="preserve"> A,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eastAsia="en-US"/>
              </w:rPr>
              <w:t>Houot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eastAsia="en-US"/>
              </w:rPr>
              <w:t xml:space="preserve">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Impact of long-term organic residue recycling in agriculture on soil solution composition and trace metal leaching in soils. Science of the Total Environment, 499, 560-573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Deredjian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A,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Colinon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C,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Hien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E,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Brothier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E,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Youenou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B,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Cournoyer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B,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Dequiedt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S, Hartmann A, Jolivet C,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Houot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S,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Ranjard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L,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Saby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NPA, </w:t>
            </w:r>
            <w:proofErr w:type="spellStart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Nazaret</w:t>
            </w:r>
            <w:proofErr w:type="spellEnd"/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 xml:space="preserve">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Low occurrence of Pseudomonas aeruginosa in agricultural soils with and without organic amendment. Frontiers in Cellular and Infection Microbiology, 4, Article Number UNSP 53. doi:10.3389/fcimb.2014.00053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Theme="minorHAnsi" w:hAnsi="Arial" w:cs="Arial"/>
                <w:iCs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>Filipovic</w:t>
            </w:r>
            <w:proofErr w:type="spellEnd"/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V, Coquet Y, </w:t>
            </w: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Pot V</w:t>
            </w:r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Houot S</w:t>
            </w:r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Benoit P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Modeling the effect of soil structure on water flow and </w:t>
            </w:r>
            <w:proofErr w:type="spellStart"/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>isoproturon</w:t>
            </w:r>
            <w:proofErr w:type="spellEnd"/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dynamics in an agricultural field receiving repeated urban waste compost application. 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Science of the Total Environment</w:t>
            </w:r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>, 499, 546-559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96471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Jagercikova</w:t>
            </w:r>
            <w:proofErr w:type="spellEnd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M, O </w:t>
            </w:r>
            <w:proofErr w:type="spellStart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Evrard</w:t>
            </w:r>
            <w:proofErr w:type="spellEnd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J </w:t>
            </w:r>
            <w:proofErr w:type="spellStart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Balesdent</w:t>
            </w:r>
            <w:proofErr w:type="spellEnd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I </w:t>
            </w:r>
            <w:proofErr w:type="spellStart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Lefevre</w:t>
            </w:r>
            <w:proofErr w:type="spellEnd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, S </w:t>
            </w:r>
            <w:proofErr w:type="spellStart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Cornu</w:t>
            </w:r>
            <w:proofErr w:type="spellEnd"/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Modeling the migration of fallout radionuclides to quantify the  contemporary transfer of fine particles in </w:t>
            </w:r>
            <w:proofErr w:type="spellStart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Luvisol</w:t>
            </w:r>
            <w:proofErr w:type="spellEnd"/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 xml:space="preserve"> profiles under different land uses and farming practices Soil &amp; Tillage Research 140 (2014) 82–97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 w:themeColor="text1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A343E7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Muller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Jimenez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J,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Antonini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Dudal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Y,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Latrille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Vedrenne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F,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Steyer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JP,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Patureau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Combining chemical sequential extractions with 3D fluorescence spectroscopy to characterize sludge organic matter. Waste Management 34 : 2572-2582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Vaudour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Gilliot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JM, Bel L, Bréchet L,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Hadjar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D,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Hamiache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J, Lemonnier Y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ind w:left="34" w:hanging="34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Uncertainty of soil reflectance retrieval from SPOT and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RapidEye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multispectral satellite images using a per-pixel bootstrapped empirical line atmospheric correction over an agricultural region. International Journal of Applied Earth Observation and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Geoinformation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26, 217-234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066CD" w:rsidRPr="00F47C62" w:rsidTr="00796471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Zarrouk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Bermond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Kolsi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Benzina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Sappin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-Didier V,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Denaix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L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Diffusive gradient in thin-film (DGT) models Cd and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Pb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uptake by plants growing on soils amended with sewage sludge and urban compost. Environmental Chemistry Letters, 12 (1) : 191-199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2014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Couhins</w:t>
            </w:r>
            <w:proofErr w:type="spellEnd"/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Chalhoub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M, Coquet Y,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Vachier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P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Water and bromide dynamics in a soil amended with different urban composts. Vadose Zone Journal, 12, 1, http://dx.doi.org/doi:10.2136/vzj2012.0056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Chalhoub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Garnier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P, Coquet Y, Mary B,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Lafolie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F,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Increased nitrogen availability in soil after repeated compost applications: Use of the PASTIS model to separate short and long-term effects. Soil Biology and Biochemistry, 65, 144-157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Colbach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Tschudy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Meunier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Nicolardot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Weed seeds in exogenous organic matter and their contribution to weed dynamics in cropping systems. A simulation approach. European Journal of Agronomy, 45, 7-19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Pauget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B, Gimbert F,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Coeurdassier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Crini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N, Pérès G, Faure O,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Douay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F,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Hitmi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A,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Beguiristain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T,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Alaphilippe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A,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Guernion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Legras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M, Vian JF,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Hedde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Bispo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A, Grand C, de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Vaufleury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Ranking field site management priorities according to their metal transfer to snails. Ecological Indicators, 29, 445-454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Taibi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-Hassani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Thoisy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JC,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Lepelletier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P, Bodin J,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Bennegadi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-Laurent N,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Bessoule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JJ,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Bispo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Bodilis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Chaussod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R,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Cheviron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Cortet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J, Criquet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Dantan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Dequiedt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S, Faure O,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Gangneux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C, Harris-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Hellal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Hedde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Hitmi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A, Le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Guédard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Legras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M, Pérès G,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Repinçay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C, Rougé L, Ruiz N,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Trinsoutrot-Gattin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I, Villenave C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Démarche statistique pour la sélection des indicateurs par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Random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Forests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pour la surveillance de la qualité des sols. </w:t>
            </w: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Etude et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Gestion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des Sols, 20 (2), 127-136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Tella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Doelsch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E,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Letourmy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P,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Chataing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Cuoq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F,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Bravin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Saint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Macary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Investigation of potentially toxic heavy metals in different organic wastes used to fertilize market garden crops. Waste management 33, 184-192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hAnsi="Arial" w:cs="Arial"/>
                <w:color w:val="131413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Vaudour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E, Bel L,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Gilliot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JM, Coquet Y,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Hadjar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D,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Cambier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P, Michelin J, 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Potential of SPOT multispectral satellite images for mapping topsoil organic carbon content over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peri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-urban croplands. Soil Science Society of America Journal, 77, 2122-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2139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2013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7D13C8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lastRenderedPageBreak/>
              <w:t>Brochier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V,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Gourland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P,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Kallassy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Poitrenaud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Occurrence of pathogens in soils and plants in a long-term field study regularly amended with different composts and manure. Agriculture, Ecosystems &amp; Environment, </w:t>
            </w:r>
            <w:r w:rsidRPr="00F47C62">
              <w:rPr>
                <w:rFonts w:ascii="Arial" w:eastAsia="Calibri" w:hAnsi="Arial" w:cs="Arial"/>
                <w:sz w:val="18"/>
                <w:szCs w:val="18"/>
                <w:lang w:val="en-US"/>
              </w:rPr>
              <w:t>160, 1, 91-98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2012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El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Azhari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N, S Lainé, V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Sappin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-Didier, J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Beguet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N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Rouard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L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Philippot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, F Martin-Laurent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Long-term impact of 19 years’ farmyard manure or sewage sludge application on the structure, diversity and density of the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protocatechuate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-degrading bacterial community. Agriculture, Ecosystems and Environment, 158, 72-82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2012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Couhins</w:t>
            </w:r>
            <w:proofErr w:type="spellEnd"/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Kaboré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WT, M Pansu, 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Hien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D Brunet, BG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Barthès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S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 A Coulibaly, P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Zombré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 L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Thuriès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and D Masse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Near infrared reflectance spectroscopy applied to model the transformation of added organic materials in soil, Journal of Near Infrared Spectroscopy, Volume 20 Issue 3, Pages 339–351 (2012).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doi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: 10.1255/jnirs.1000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2012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Gampela</w:t>
            </w:r>
            <w:proofErr w:type="spellEnd"/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Legind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CN, Rein A,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Serre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J,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Brochier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V,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Haudin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Cambier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P, Houot S, Trapp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Simultaneous simulations of uptake in plants and leaching to groundwater of cadmium and lead for arable land amended with compost or farmyard manure.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PLoS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ONE, 7, 10 - article no e47002, 13 p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Peltre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C, Christensen BT, Dragon 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Icard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Kätterer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T, 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RothC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simulation of carbon accumulation in soil after repeated application of widely different organic amendments. Soil Biology and Biochemistry, 52, 49-60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iCs/>
                <w:sz w:val="18"/>
                <w:szCs w:val="18"/>
              </w:rPr>
              <w:t>Watteau F, Villemin G, Bartoli F, Schwartz C, Morel JL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0-20 µm aggregate typology based on the nature of aggregative organic materials in cultivated silty topsoil. Soil Biology Biochemistry, 46, 103-114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iCs/>
                <w:sz w:val="18"/>
                <w:szCs w:val="18"/>
              </w:rPr>
              <w:t>2012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Bouzule</w:t>
            </w:r>
            <w:proofErr w:type="spellEnd"/>
          </w:p>
        </w:tc>
      </w:tr>
      <w:tr w:rsidR="00F066CD" w:rsidRPr="00F47C62" w:rsidTr="007B62CF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 xml:space="preserve">Annabi M, Le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Bissonnais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Y, Le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Villio-Poitrenaud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M, 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>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Soil aggregate stability improved by repeated applications of organic amendments to a cultivated loamy soil. Agriculture Ecosystem &amp; Environment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Chenu C,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Abiven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S, Annabi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Barray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S, Bertrand M, Bureau F,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Cosentino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DJ, Darboux F, Duval O.,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Fourrié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L,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Francou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C, Houot S, Jolivet C, Laval K, Le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Bissonnais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Y,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Lemée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L,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Menasseri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Petraud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JP,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Verbèque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spacing w:line="20" w:lineRule="atLeast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Mise au point d'outils de prévision de l'évolution de la stabilité de la structure de sols sous l'effet de la gestion organique des sols. </w:t>
            </w: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Etude et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Gestion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des Sols, 18, 3, 161-174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Cortet</w:t>
            </w:r>
            <w:proofErr w:type="spellEnd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 xml:space="preserve"> J,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Kocev</w:t>
            </w:r>
            <w:proofErr w:type="spellEnd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 xml:space="preserve"> D, </w:t>
            </w:r>
            <w:proofErr w:type="spellStart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Ducobu</w:t>
            </w:r>
            <w:proofErr w:type="spellEnd"/>
            <w:r w:rsidRPr="00F47C62">
              <w:rPr>
                <w:rFonts w:ascii="Arial" w:eastAsia="Calibri" w:hAnsi="Arial" w:cs="Arial"/>
                <w:iCs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 xml:space="preserve">C, </w:t>
            </w:r>
            <w:proofErr w:type="spellStart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Džeroski</w:t>
            </w:r>
            <w:proofErr w:type="spellEnd"/>
            <w:r w:rsidRPr="00F47C62">
              <w:rPr>
                <w:rFonts w:ascii="Arial" w:eastAsia="Calibri" w:hAnsi="Arial" w:cs="Arial"/>
                <w:iCs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 xml:space="preserve">S, </w:t>
            </w:r>
            <w:proofErr w:type="spellStart"/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Debeljak</w:t>
            </w:r>
            <w:proofErr w:type="spellEnd"/>
            <w:r w:rsidRPr="00F47C62">
              <w:rPr>
                <w:rFonts w:ascii="Arial" w:eastAsia="Calibri" w:hAnsi="Arial" w:cs="Arial"/>
                <w:iCs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M and Schwartz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vertAlign w:val="superscript"/>
                <w:lang w:val="en-GB"/>
              </w:rPr>
              <w:t xml:space="preserve"> 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C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  <w:t xml:space="preserve">Using data mining to predict soil quality after application of </w:t>
            </w:r>
            <w:proofErr w:type="spellStart"/>
            <w:r w:rsidRPr="00F47C62"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  <w:t>biosolids</w:t>
            </w:r>
            <w:proofErr w:type="spellEnd"/>
            <w:r w:rsidRPr="00F47C62">
              <w:rPr>
                <w:rFonts w:ascii="Arial" w:eastAsia="Calibri" w:hAnsi="Arial" w:cs="Arial"/>
                <w:bCs/>
                <w:iCs/>
                <w:sz w:val="18"/>
                <w:szCs w:val="18"/>
                <w:lang w:val="en-GB"/>
              </w:rPr>
              <w:t xml:space="preserve"> in agriculture</w:t>
            </w: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. Journal of Environmental Quality, 40, 1972-1982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iCs/>
                <w:sz w:val="18"/>
                <w:szCs w:val="18"/>
                <w:lang w:val="en-GB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Bouzule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Kaboré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WT,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Hien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E, Houot S, Coulibaly A,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Zombré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P, Masse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Valorisation de substrats organiques divers dans l’agriculture péri-urbaine de Ouagadougou (Burkina Faso) pour l’amendement et la fertilisation des sols : acteurs et pratiques, Biotechnologie Agronomie Société et Environnement 15 (2), 271-286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Gampela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Kaboré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WT, Pansu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Hien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Zombré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NP, Masse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Usefulness of TAO model to predict and manage the transformation in soil of carbon and nitrogen forms from West-Africa urban solid wastes, Waste Management 31, 154–167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Gampela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Kaboré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WTT,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Hien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Zombre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P, Coulibaly A, Houot S, Masse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Valorisation de substrats organiques divers dans l’agriculture péri-urbaine de Ouagadougou (Burkina Faso) pour l’amendement et la fertilisation des sols : acteurs et pratiques (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Organic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substrates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recycling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in the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sub-urban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agriculture of Ouagadougou (Burkina Faso) for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soils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fertilization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proofErr w:type="gram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description of the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different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actors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their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practices). Biotechnologie Agronomie Société et Environnement, 15, 2, 271-286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Gampela</w:t>
            </w:r>
            <w:proofErr w:type="spellEnd"/>
          </w:p>
        </w:tc>
      </w:tr>
      <w:tr w:rsidR="00F066CD" w:rsidRPr="00F47C62" w:rsidTr="00263D13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Pérès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G,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Vandenbulcke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F,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Guernion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Hedde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Beguiristain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T, Douay F,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Piron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D, Richard A,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Bispo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A, Grand C,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Galsomies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L,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Cluzeau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Earthworm indicators as tools for soil monitoring, characterization and risk assessment. An example from the national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Bioindicator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programme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(France).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Pedobiologia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, 54, Supplement, 0, S77-S87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933A10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Pot V, Benoit P,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Etievant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V,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Bernet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N, Labat C, Coquet Y, 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Effects of tillage practice and repeated urban compost application on bromide and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isoproturon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transport in a loamy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Albeluvisol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. European Journal of Soil Science, 62, 6, 797-810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263D13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Peltre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Dignac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MF,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Derenne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Houot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Change of the chemical composition and biodegradability of the Van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Soest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soluble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fraction during composting: A study using a novel extraction method. Waste Management, 30, 12, 2448-2460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</w:rPr>
              <w:lastRenderedPageBreak/>
              <w:t>2010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705E0A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</w:rPr>
              <w:lastRenderedPageBreak/>
              <w:t>Wind-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Tinbnoma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Kaboré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T,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Hien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E,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Zombre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P,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Hien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V, Masse D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Effect of the raw materials and mixing ratio of composted wastes on the dynamic of organic matter stabilization and nitrogen availability in composts of Sub-Saharan Africa.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>Bioresource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Technology, 101, 3, 1002-1013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</w:rPr>
              <w:t>2010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Gampela</w:t>
            </w:r>
            <w:proofErr w:type="spellEnd"/>
          </w:p>
        </w:tc>
      </w:tr>
      <w:tr w:rsidR="00F066CD" w:rsidRPr="00F47C62" w:rsidTr="00705E0A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Capowiez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Y,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Rault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Mazzia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Lhoutellier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 et 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>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 xml:space="preserve">Étude des effets des apports de produits résiduaires organiques sur la macrofaune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lombricienne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en conditions de grandes cultures </w:t>
            </w:r>
            <w:r w:rsidRPr="00F47C62">
              <w:rPr>
                <w:rStyle w:val="A0"/>
                <w:rFonts w:ascii="Arial" w:hAnsi="Arial" w:cs="Arial"/>
                <w:sz w:val="18"/>
                <w:szCs w:val="18"/>
              </w:rPr>
              <w:t>Étude et Gestion des Sols, Volume 16, 3/4, 2009 - pages 175 à 185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</w:rPr>
              <w:t xml:space="preserve"> S</w:t>
            </w:r>
            <w:r w:rsidRPr="00F47C62">
              <w:rPr>
                <w:rFonts w:ascii="Arial" w:hAnsi="Arial" w:cs="Arial"/>
                <w:sz w:val="18"/>
                <w:szCs w:val="18"/>
              </w:rPr>
              <w:t xml:space="preserve">, Cambier P, Benoit P,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Bodineau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G, Deschamps M,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Jaulin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A,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Lhoutellier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Barriuso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 xml:space="preserve">Effet d’apports de composts sur la disponibilité de micropolluants métalliques et organiques dans un sol cultivé. </w:t>
            </w:r>
            <w:r w:rsidRPr="00F47C62">
              <w:rPr>
                <w:rStyle w:val="A0"/>
                <w:rFonts w:ascii="Arial" w:hAnsi="Arial" w:cs="Arial"/>
                <w:sz w:val="18"/>
                <w:szCs w:val="18"/>
              </w:rPr>
              <w:t>Étude et Gestion des Sols, Volume 16, 3/4, 2009 - pages 255 à 274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Le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Guédard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Bodineau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G,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Bessoule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JJ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Utilisation d'un </w:t>
            </w:r>
            <w:proofErr w:type="spell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bioindicateur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lipidique végétal sur le site agricole de </w:t>
            </w:r>
            <w:proofErr w:type="spellStart"/>
            <w:proofErr w:type="gramStart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Feucherolles</w:t>
            </w:r>
            <w:proofErr w:type="spell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proofErr w:type="gramEnd"/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Effets de divers amendements sur les végétaux cultivés. Etude et Gestion des Sols, 16, 3-4, 289-297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Leyval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C, Steinberg C,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Norini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MP,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Beguiristain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T,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Edel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-Hermann V,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Leglize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P,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Gautheron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N, Lebeau T et </w:t>
            </w:r>
            <w:r w:rsidRPr="00F47C62">
              <w:rPr>
                <w:rFonts w:ascii="Arial" w:hAnsi="Arial" w:cs="Arial"/>
                <w:bCs/>
                <w:sz w:val="18"/>
                <w:szCs w:val="18"/>
              </w:rPr>
              <w:t>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Impact d’amendements organiques sur la structure des communautés microbiennes des sols : Choix des méthodes, validation et résultats Étude et Gestion des Sols, Volume 16, 3/4, 2009 - pages 299 à 312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2009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Schneider S</w:t>
            </w: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Coquet Y</w:t>
            </w: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Vachier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</w:t>
            </w: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Labat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</w:t>
            </w: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, Roger-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Estrade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 J,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Benoit P</w:t>
            </w: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Pot V</w:t>
            </w: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Effect of urban waste compost application on soil near-saturated hydraulic conductivity J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Env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Qual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, 38, 772-781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2009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Vieublé-Gonod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 L, Benoit P Cohen N, </w:t>
            </w:r>
            <w:r w:rsidRPr="00F47C62">
              <w:rPr>
                <w:rFonts w:ascii="Arial" w:hAnsi="Arial" w:cs="Arial"/>
                <w:bCs/>
                <w:sz w:val="18"/>
                <w:szCs w:val="18"/>
                <w:lang w:val="en-GB"/>
              </w:rPr>
              <w:t>Houot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Spatial and temporal heterogeneity of soil microorganisms and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isoproturon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 degrading activity in a tilled soil in relation with urban waste compost application. 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Soil Biology &amp; Biochemistry, </w:t>
            </w:r>
            <w:r w:rsidRPr="00F47C62">
              <w:rPr>
                <w:rStyle w:val="databold"/>
                <w:rFonts w:ascii="Arial" w:eastAsiaTheme="majorEastAsia" w:hAnsi="Arial" w:cs="Arial"/>
                <w:sz w:val="18"/>
                <w:szCs w:val="18"/>
                <w:lang w:val="en-US"/>
              </w:rPr>
              <w:t>41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47C62">
              <w:rPr>
                <w:rStyle w:val="databold"/>
                <w:rFonts w:ascii="Arial" w:eastAsiaTheme="majorEastAsia" w:hAnsi="Arial" w:cs="Arial"/>
                <w:sz w:val="18"/>
                <w:szCs w:val="18"/>
                <w:lang w:val="en-US"/>
              </w:rPr>
              <w:t>2558-2567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2009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F066CD" w:rsidRPr="00F47C62" w:rsidTr="00263D13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Diesing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WE,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Sinaj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Sarret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G,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Manceau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A,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Flura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T,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Demaria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P,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Siegenthaler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A,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Sappin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-Didier V,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Frossard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E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Zinc speciation and isotopic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exchangeablility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in soils polluted with heavy metals. </w:t>
            </w: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European Journal of Soil Science, 59, 716–729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2008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Couhins</w:t>
            </w:r>
            <w:proofErr w:type="spellEnd"/>
          </w:p>
        </w:tc>
      </w:tr>
      <w:tr w:rsidR="00F066CD" w:rsidRPr="00F47C62" w:rsidTr="00F75115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Stephan CH,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Courchesne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F, Hendershot WH, McGrath SP,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Chaudri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M, </w:t>
            </w:r>
            <w:proofErr w:type="spellStart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Sappin</w:t>
            </w:r>
            <w:proofErr w:type="spellEnd"/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-Didier V, Sauvé S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Speciation of zinc in contaminated soils. Environmental Pollution, 155, 208- 216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2008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Couhins</w:t>
            </w:r>
            <w:proofErr w:type="spellEnd"/>
          </w:p>
        </w:tc>
      </w:tr>
      <w:tr w:rsidR="00F066CD" w:rsidRPr="00F47C62" w:rsidTr="00263D13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>Gabrielle B, Da Silveira J, Houot S, Michelin J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Field-scale modelling of carbon and nitrogen dynamics in soils amended with urban waste composts. </w:t>
            </w:r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Agriculture Ecosystems and Environment,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110, 3/4, 289-299.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2005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  <w:tr w:rsidR="00F066CD" w:rsidRPr="00F47C62" w:rsidTr="00263D13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Lichtfouse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E,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Sappin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-Didier V,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Denaix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L,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Caria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G,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Metzger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L,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Amellal-Nassr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L, </w:t>
            </w:r>
            <w:proofErr w:type="spellStart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Schnidt</w:t>
            </w:r>
            <w:proofErr w:type="spellEnd"/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 xml:space="preserve"> J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A 25-year record of polycyclic aromatic hydrocarbons in soils amended with sewage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>sludges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nl-NL"/>
              </w:rPr>
              <w:t>Environ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nl-NL"/>
              </w:rPr>
              <w:t>Chem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nl-NL"/>
              </w:rPr>
              <w:t>Lett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  <w:lang w:val="nl-NL"/>
              </w:rPr>
              <w:t>, 3, 140-144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</w:pPr>
            <w:r w:rsidRPr="00F47C62">
              <w:rPr>
                <w:rFonts w:ascii="Arial" w:hAnsi="Arial" w:cs="Arial"/>
                <w:bCs/>
                <w:sz w:val="18"/>
                <w:szCs w:val="18"/>
                <w:lang w:val="nl-NL"/>
              </w:rPr>
              <w:t>2005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Couhins</w:t>
            </w:r>
            <w:proofErr w:type="spellEnd"/>
          </w:p>
        </w:tc>
      </w:tr>
      <w:tr w:rsidR="00F066CD" w:rsidRPr="00F47C62" w:rsidTr="00477833">
        <w:trPr>
          <w:trHeight w:val="170"/>
        </w:trPr>
        <w:tc>
          <w:tcPr>
            <w:tcW w:w="5103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47C62">
              <w:rPr>
                <w:rFonts w:ascii="Arial" w:hAnsi="Arial" w:cs="Arial"/>
                <w:sz w:val="18"/>
                <w:szCs w:val="18"/>
              </w:rPr>
              <w:t xml:space="preserve">Gabrielle B, Da Silveira J,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Houot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S, </w:t>
            </w:r>
            <w:proofErr w:type="spellStart"/>
            <w:r w:rsidRPr="00F47C62">
              <w:rPr>
                <w:rFonts w:ascii="Arial" w:hAnsi="Arial" w:cs="Arial"/>
                <w:sz w:val="18"/>
                <w:szCs w:val="18"/>
              </w:rPr>
              <w:t>Francou</w:t>
            </w:r>
            <w:proofErr w:type="spellEnd"/>
            <w:r w:rsidRPr="00F47C62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7088" w:type="dxa"/>
            <w:vAlign w:val="center"/>
          </w:tcPr>
          <w:p w:rsidR="00F066CD" w:rsidRPr="00F47C62" w:rsidRDefault="00F066CD" w:rsidP="00F066CD">
            <w:pPr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Simulating urban waste compost effects on carbon and nitrogen dynamics using a biochemical index. </w:t>
            </w:r>
            <w:r w:rsidRPr="00F47C62">
              <w:rPr>
                <w:rFonts w:ascii="Arial" w:hAnsi="Arial" w:cs="Arial"/>
                <w:iCs/>
                <w:sz w:val="18"/>
                <w:szCs w:val="18"/>
                <w:lang w:val="en-US"/>
              </w:rPr>
              <w:t>Journal of Environmental Quality,</w:t>
            </w: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 xml:space="preserve"> 33, 2333-2342. </w:t>
            </w:r>
          </w:p>
        </w:tc>
        <w:tc>
          <w:tcPr>
            <w:tcW w:w="1276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2004</w:t>
            </w:r>
          </w:p>
        </w:tc>
        <w:tc>
          <w:tcPr>
            <w:tcW w:w="1701" w:type="dxa"/>
            <w:vAlign w:val="center"/>
          </w:tcPr>
          <w:p w:rsidR="00F066CD" w:rsidRPr="00F47C62" w:rsidRDefault="00F066CD" w:rsidP="00F066CD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47C62">
              <w:rPr>
                <w:rFonts w:ascii="Arial" w:hAnsi="Arial" w:cs="Arial"/>
                <w:sz w:val="18"/>
                <w:szCs w:val="18"/>
                <w:lang w:val="en-US"/>
              </w:rPr>
              <w:t>QualiAgro</w:t>
            </w:r>
            <w:proofErr w:type="spellEnd"/>
          </w:p>
        </w:tc>
      </w:tr>
    </w:tbl>
    <w:p w:rsidR="00CB62C8" w:rsidRPr="00DA4D5A" w:rsidRDefault="00CB62C8"/>
    <w:sectPr w:rsidR="00CB62C8" w:rsidRPr="00DA4D5A" w:rsidSect="00CB62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C8"/>
    <w:rsid w:val="00001D13"/>
    <w:rsid w:val="002915AD"/>
    <w:rsid w:val="00452F8B"/>
    <w:rsid w:val="00526AD7"/>
    <w:rsid w:val="00592E48"/>
    <w:rsid w:val="005E419B"/>
    <w:rsid w:val="00610779"/>
    <w:rsid w:val="00647A13"/>
    <w:rsid w:val="00652B9A"/>
    <w:rsid w:val="00660802"/>
    <w:rsid w:val="007538CC"/>
    <w:rsid w:val="0077164B"/>
    <w:rsid w:val="0078650B"/>
    <w:rsid w:val="00796B4E"/>
    <w:rsid w:val="007D156D"/>
    <w:rsid w:val="007E1319"/>
    <w:rsid w:val="008C0C57"/>
    <w:rsid w:val="00987BBA"/>
    <w:rsid w:val="009A1C57"/>
    <w:rsid w:val="009D7212"/>
    <w:rsid w:val="00A93071"/>
    <w:rsid w:val="00AB1E9C"/>
    <w:rsid w:val="00B11220"/>
    <w:rsid w:val="00BA6644"/>
    <w:rsid w:val="00BC148C"/>
    <w:rsid w:val="00BC3B62"/>
    <w:rsid w:val="00C440CC"/>
    <w:rsid w:val="00CB62C8"/>
    <w:rsid w:val="00D00B98"/>
    <w:rsid w:val="00D02A99"/>
    <w:rsid w:val="00DA4D5A"/>
    <w:rsid w:val="00DD0773"/>
    <w:rsid w:val="00E34C3F"/>
    <w:rsid w:val="00E43E4E"/>
    <w:rsid w:val="00E72FAA"/>
    <w:rsid w:val="00E80BD3"/>
    <w:rsid w:val="00E86523"/>
    <w:rsid w:val="00F066CD"/>
    <w:rsid w:val="00F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5AD3"/>
  <w15:docId w15:val="{8931655A-D3CF-4277-9AE7-6D006B96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62C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B6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CB62C8"/>
    <w:rPr>
      <w:rFonts w:cs="Helvetica 55 Roman"/>
      <w:i/>
      <w:iCs/>
      <w:color w:val="000000"/>
      <w:sz w:val="14"/>
      <w:szCs w:val="14"/>
    </w:rPr>
  </w:style>
  <w:style w:type="character" w:customStyle="1" w:styleId="databold">
    <w:name w:val="data_bold"/>
    <w:basedOn w:val="Policepardfaut"/>
    <w:rsid w:val="00CB62C8"/>
  </w:style>
  <w:style w:type="character" w:styleId="lev">
    <w:name w:val="Strong"/>
    <w:basedOn w:val="Policepardfaut"/>
    <w:uiPriority w:val="22"/>
    <w:qFormat/>
    <w:rsid w:val="009D7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3641</Words>
  <Characters>20026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 ECOSYS Thiverval Grignon</Company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Aurelia Michaud</cp:lastModifiedBy>
  <cp:revision>25</cp:revision>
  <dcterms:created xsi:type="dcterms:W3CDTF">2020-04-20T13:03:00Z</dcterms:created>
  <dcterms:modified xsi:type="dcterms:W3CDTF">2020-04-20T13:24:00Z</dcterms:modified>
</cp:coreProperties>
</file>