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9C" w:rsidRDefault="0010479C">
      <w:pPr>
        <w:rPr>
          <w:rFonts w:ascii="Arial" w:hAnsi="Arial" w:cs="Arial"/>
          <w:sz w:val="20"/>
          <w:szCs w:val="20"/>
        </w:rPr>
      </w:pPr>
      <w:r w:rsidRPr="00D8605B">
        <w:rPr>
          <w:rFonts w:ascii="Arial" w:hAnsi="Arial" w:cs="Arial"/>
          <w:sz w:val="20"/>
          <w:szCs w:val="20"/>
        </w:rPr>
        <w:t>Liste des post-doctorants ayant travaillé sur les sites du SOERE PRO ou en utilisant des jeux de données du SOERE PRO</w:t>
      </w:r>
    </w:p>
    <w:tbl>
      <w:tblPr>
        <w:tblStyle w:val="Grilledutableau"/>
        <w:tblW w:w="15143" w:type="dxa"/>
        <w:jc w:val="center"/>
        <w:tblInd w:w="-615" w:type="dxa"/>
        <w:tblLayout w:type="fixed"/>
        <w:tblLook w:val="01E0" w:firstRow="1" w:lastRow="1" w:firstColumn="1" w:lastColumn="1" w:noHBand="0" w:noVBand="0"/>
      </w:tblPr>
      <w:tblGrid>
        <w:gridCol w:w="1716"/>
        <w:gridCol w:w="3969"/>
        <w:gridCol w:w="1275"/>
        <w:gridCol w:w="4395"/>
        <w:gridCol w:w="1661"/>
        <w:gridCol w:w="2127"/>
      </w:tblGrid>
      <w:tr w:rsidR="0010479C" w:rsidRPr="008430D7" w:rsidTr="00B27DF3">
        <w:trPr>
          <w:jc w:val="center"/>
        </w:trPr>
        <w:tc>
          <w:tcPr>
            <w:tcW w:w="1716" w:type="dxa"/>
            <w:shd w:val="clear" w:color="auto" w:fill="31849B" w:themeFill="accent5" w:themeFillShade="BF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430D7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Nom Post-Doc.</w:t>
            </w:r>
          </w:p>
        </w:tc>
        <w:tc>
          <w:tcPr>
            <w:tcW w:w="3969" w:type="dxa"/>
            <w:shd w:val="clear" w:color="auto" w:fill="31849B" w:themeFill="accent5" w:themeFillShade="BF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430D7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Sujet, thématiques de recherche</w:t>
            </w:r>
          </w:p>
        </w:tc>
        <w:tc>
          <w:tcPr>
            <w:tcW w:w="1275" w:type="dxa"/>
            <w:shd w:val="clear" w:color="auto" w:fill="31849B" w:themeFill="accent5" w:themeFillShade="BF"/>
            <w:vAlign w:val="center"/>
          </w:tcPr>
          <w:p w:rsidR="0010479C" w:rsidRPr="008430D7" w:rsidRDefault="0010479C" w:rsidP="00B27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0D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Année</w:t>
            </w:r>
          </w:p>
        </w:tc>
        <w:tc>
          <w:tcPr>
            <w:tcW w:w="4395" w:type="dxa"/>
            <w:shd w:val="clear" w:color="auto" w:fill="31849B" w:themeFill="accent5" w:themeFillShade="BF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430D7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Rendus, articles (lien accès)</w:t>
            </w:r>
          </w:p>
        </w:tc>
        <w:tc>
          <w:tcPr>
            <w:tcW w:w="1661" w:type="dxa"/>
            <w:shd w:val="clear" w:color="auto" w:fill="31849B" w:themeFill="accent5" w:themeFillShade="BF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4C579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Site(s) du SOERE PRO</w:t>
            </w:r>
          </w:p>
        </w:tc>
        <w:tc>
          <w:tcPr>
            <w:tcW w:w="2127" w:type="dxa"/>
            <w:shd w:val="clear" w:color="auto" w:fill="31849B" w:themeFill="accent5" w:themeFillShade="BF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430D7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Partenaire encadrant</w:t>
            </w:r>
          </w:p>
        </w:tc>
      </w:tr>
      <w:tr w:rsidR="0010479C" w:rsidRPr="006A25EB" w:rsidTr="00B27DF3">
        <w:trPr>
          <w:jc w:val="center"/>
        </w:trPr>
        <w:tc>
          <w:tcPr>
            <w:tcW w:w="1716" w:type="dxa"/>
            <w:vAlign w:val="center"/>
          </w:tcPr>
          <w:p w:rsidR="0010479C" w:rsidRPr="008430D7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EDEN Marie</w:t>
            </w:r>
          </w:p>
        </w:tc>
        <w:tc>
          <w:tcPr>
            <w:tcW w:w="3969" w:type="dxa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Effet des apports de PRO sur les propriétés des sols.</w:t>
            </w:r>
          </w:p>
        </w:tc>
        <w:tc>
          <w:tcPr>
            <w:tcW w:w="1275" w:type="dxa"/>
            <w:vAlign w:val="center"/>
          </w:tcPr>
          <w:p w:rsidR="0010479C" w:rsidRPr="008430D7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4395" w:type="dxa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7E2838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n-US"/>
              </w:rPr>
              <w:t xml:space="preserve">Organic waste recycling in agriculture and related impacts on soil water retention and plant available water: a review.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 soumettre</w:t>
            </w:r>
          </w:p>
        </w:tc>
        <w:tc>
          <w:tcPr>
            <w:tcW w:w="1661" w:type="dxa"/>
            <w:vAlign w:val="center"/>
          </w:tcPr>
          <w:p w:rsidR="0010479C" w:rsidRPr="008430D7" w:rsidRDefault="0010479C" w:rsidP="00B27DF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Qualiagro</w:t>
            </w:r>
          </w:p>
        </w:tc>
        <w:tc>
          <w:tcPr>
            <w:tcW w:w="2127" w:type="dxa"/>
            <w:vAlign w:val="center"/>
          </w:tcPr>
          <w:p w:rsidR="0010479C" w:rsidRPr="0018637E" w:rsidRDefault="0010479C" w:rsidP="00B27DF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18637E">
              <w:rPr>
                <w:rFonts w:ascii="Arial" w:hAnsi="Arial" w:cs="Arial"/>
                <w:bCs/>
                <w:sz w:val="18"/>
                <w:szCs w:val="18"/>
                <w:lang w:val="en-US"/>
              </w:rPr>
              <w:t>Houot</w:t>
            </w:r>
            <w:proofErr w:type="spellEnd"/>
            <w:r w:rsidRPr="0018637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S, INRA, UMR </w:t>
            </w:r>
            <w:proofErr w:type="spellStart"/>
            <w:r w:rsidRPr="0018637E">
              <w:rPr>
                <w:rFonts w:ascii="Arial" w:hAnsi="Arial" w:cs="Arial"/>
                <w:bCs/>
                <w:sz w:val="18"/>
                <w:szCs w:val="18"/>
                <w:lang w:val="en-US"/>
              </w:rPr>
              <w:t>EcoSys</w:t>
            </w:r>
            <w:proofErr w:type="spellEnd"/>
          </w:p>
        </w:tc>
      </w:tr>
      <w:tr w:rsidR="0010479C" w:rsidRPr="006A25EB" w:rsidTr="00B27DF3">
        <w:trPr>
          <w:jc w:val="center"/>
        </w:trPr>
        <w:tc>
          <w:tcPr>
            <w:tcW w:w="1716" w:type="dxa"/>
            <w:vAlign w:val="center"/>
          </w:tcPr>
          <w:p w:rsidR="0010479C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JIMENEZ Julie</w:t>
            </w:r>
          </w:p>
        </w:tc>
        <w:tc>
          <w:tcPr>
            <w:tcW w:w="3969" w:type="dxa"/>
            <w:vAlign w:val="center"/>
          </w:tcPr>
          <w:p w:rsidR="0010479C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Méthodes de caractérisation de la matière organique des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PROs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, typologie des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PROs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, modélisation du devenir de cette matière organique au cours du traitement des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PROs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et lors de leur apport au sol</w:t>
            </w:r>
          </w:p>
        </w:tc>
        <w:tc>
          <w:tcPr>
            <w:tcW w:w="1275" w:type="dxa"/>
            <w:vAlign w:val="center"/>
          </w:tcPr>
          <w:p w:rsidR="0010479C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4395" w:type="dxa"/>
            <w:vAlign w:val="center"/>
          </w:tcPr>
          <w:p w:rsidR="0010479C" w:rsidRPr="00595E00" w:rsidRDefault="0010479C" w:rsidP="00B27D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367">
              <w:rPr>
                <w:rFonts w:ascii="Arial" w:hAnsi="Arial" w:cs="Arial"/>
                <w:sz w:val="18"/>
                <w:szCs w:val="18"/>
                <w:lang w:val="en-US"/>
              </w:rPr>
              <w:t>Muller et al., Waste Management 34, 2014, Combining chemical sequential extractions with 3D fluorescence</w:t>
            </w:r>
            <w:r w:rsidRPr="00595E0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  <w:lang w:val="en-US"/>
              </w:rPr>
              <w:t>spectroscopy to characterize sludge organic matter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;</w:t>
            </w:r>
          </w:p>
          <w:p w:rsidR="0010479C" w:rsidRPr="00417367" w:rsidRDefault="0010479C" w:rsidP="00B27D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17367"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  <w:r w:rsidRPr="00417367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gramStart"/>
            <w:r w:rsidRPr="00417367">
              <w:rPr>
                <w:rFonts w:ascii="Arial" w:hAnsi="Arial" w:cs="Arial"/>
                <w:sz w:val="18"/>
                <w:szCs w:val="18"/>
              </w:rPr>
              <w:t>al.,</w:t>
            </w:r>
            <w:proofErr w:type="gramEnd"/>
            <w:r w:rsidRPr="004173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367">
              <w:rPr>
                <w:rFonts w:ascii="Arial" w:hAnsi="Arial" w:cs="Arial"/>
                <w:sz w:val="18"/>
                <w:szCs w:val="18"/>
              </w:rPr>
              <w:t>Bioresource</w:t>
            </w:r>
            <w:proofErr w:type="spellEnd"/>
            <w:r w:rsidRPr="004173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367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417367">
              <w:rPr>
                <w:rFonts w:ascii="Arial" w:hAnsi="Arial" w:cs="Arial"/>
                <w:sz w:val="18"/>
                <w:szCs w:val="18"/>
              </w:rPr>
              <w:t xml:space="preserve">, 194, 2015. </w:t>
            </w:r>
            <w:r w:rsidRPr="00417367">
              <w:rPr>
                <w:rFonts w:ascii="Arial" w:hAnsi="Arial" w:cs="Arial"/>
                <w:sz w:val="18"/>
                <w:szCs w:val="18"/>
                <w:lang w:val="en-US"/>
              </w:rPr>
              <w:t>A new organic matter fractionation methodology for organic wastes: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367">
              <w:rPr>
                <w:rFonts w:ascii="Arial" w:hAnsi="Arial" w:cs="Arial"/>
                <w:sz w:val="18"/>
                <w:szCs w:val="18"/>
                <w:lang w:val="en-US"/>
              </w:rPr>
              <w:t>Bioaccessibility</w:t>
            </w:r>
            <w:proofErr w:type="spellEnd"/>
            <w:r w:rsidRPr="00417367">
              <w:rPr>
                <w:rFonts w:ascii="Arial" w:hAnsi="Arial" w:cs="Arial"/>
                <w:sz w:val="18"/>
                <w:szCs w:val="18"/>
                <w:lang w:val="en-US"/>
              </w:rPr>
              <w:t xml:space="preserve"> and complexity characterization for treatment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  <w:lang w:val="en-US"/>
              </w:rPr>
              <w:t>optimization</w:t>
            </w:r>
          </w:p>
        </w:tc>
        <w:tc>
          <w:tcPr>
            <w:tcW w:w="1661" w:type="dxa"/>
            <w:vAlign w:val="center"/>
          </w:tcPr>
          <w:p w:rsidR="0010479C" w:rsidRPr="00417367" w:rsidRDefault="0010479C" w:rsidP="00B27D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0479C" w:rsidRPr="00417367" w:rsidRDefault="0010479C" w:rsidP="00B27DF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C70F5E">
              <w:rPr>
                <w:rFonts w:ascii="Arial" w:hAnsi="Arial" w:cs="Arial"/>
                <w:bCs/>
                <w:sz w:val="18"/>
                <w:szCs w:val="18"/>
                <w:lang w:val="en-US"/>
              </w:rPr>
              <w:t>Patureau</w:t>
            </w:r>
            <w:proofErr w:type="spellEnd"/>
            <w:r w:rsidRPr="00C70F5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D, INRA LBE; </w:t>
            </w:r>
            <w:proofErr w:type="spellStart"/>
            <w:r w:rsidRPr="00C70F5E">
              <w:rPr>
                <w:rFonts w:ascii="Arial" w:hAnsi="Arial" w:cs="Arial"/>
                <w:bCs/>
                <w:sz w:val="18"/>
                <w:szCs w:val="18"/>
                <w:lang w:val="en-US"/>
              </w:rPr>
              <w:t>Houot</w:t>
            </w:r>
            <w:proofErr w:type="spellEnd"/>
            <w:r w:rsidRPr="00C70F5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S, INRA, UMR </w:t>
            </w:r>
            <w:proofErr w:type="spellStart"/>
            <w:r w:rsidRPr="00C70F5E">
              <w:rPr>
                <w:rFonts w:ascii="Arial" w:hAnsi="Arial" w:cs="Arial"/>
                <w:bCs/>
                <w:sz w:val="18"/>
                <w:szCs w:val="18"/>
                <w:lang w:val="en-US"/>
              </w:rPr>
              <w:t>Ecosys</w:t>
            </w:r>
            <w:proofErr w:type="spellEnd"/>
          </w:p>
        </w:tc>
      </w:tr>
      <w:tr w:rsidR="0010479C" w:rsidRPr="006A25EB" w:rsidTr="00B27DF3">
        <w:trPr>
          <w:jc w:val="center"/>
        </w:trPr>
        <w:tc>
          <w:tcPr>
            <w:tcW w:w="1716" w:type="dxa"/>
            <w:vAlign w:val="center"/>
          </w:tcPr>
          <w:p w:rsidR="0010479C" w:rsidRPr="008430D7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STAUFFER Marie</w:t>
            </w:r>
          </w:p>
        </w:tc>
        <w:tc>
          <w:tcPr>
            <w:tcW w:w="3969" w:type="dxa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Synthèse des résultats du site QualiAgro : 1998-2013</w:t>
            </w:r>
          </w:p>
        </w:tc>
        <w:tc>
          <w:tcPr>
            <w:tcW w:w="1275" w:type="dxa"/>
            <w:vAlign w:val="center"/>
          </w:tcPr>
          <w:p w:rsidR="0010479C" w:rsidRPr="008430D7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4395" w:type="dxa"/>
            <w:vAlign w:val="center"/>
          </w:tcPr>
          <w:p w:rsidR="0010479C" w:rsidRPr="008430D7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Présentation Juin 2015</w:t>
            </w:r>
          </w:p>
        </w:tc>
        <w:tc>
          <w:tcPr>
            <w:tcW w:w="1661" w:type="dxa"/>
            <w:vAlign w:val="center"/>
          </w:tcPr>
          <w:p w:rsidR="0010479C" w:rsidRPr="008430D7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  <w:tc>
          <w:tcPr>
            <w:tcW w:w="2127" w:type="dxa"/>
            <w:vAlign w:val="center"/>
          </w:tcPr>
          <w:p w:rsidR="0010479C" w:rsidRPr="00275D52" w:rsidRDefault="0010479C" w:rsidP="00B27DF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275D52">
              <w:rPr>
                <w:rFonts w:ascii="Arial" w:hAnsi="Arial" w:cs="Arial"/>
                <w:bCs/>
                <w:sz w:val="18"/>
                <w:szCs w:val="18"/>
                <w:lang w:val="en-US"/>
              </w:rPr>
              <w:t>Houot</w:t>
            </w:r>
            <w:proofErr w:type="spellEnd"/>
            <w:r w:rsidRPr="00275D5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S, INRA, UMR </w:t>
            </w:r>
            <w:proofErr w:type="spellStart"/>
            <w:r w:rsidRPr="00275D52">
              <w:rPr>
                <w:rFonts w:ascii="Arial" w:hAnsi="Arial" w:cs="Arial"/>
                <w:bCs/>
                <w:sz w:val="18"/>
                <w:szCs w:val="18"/>
                <w:lang w:val="en-US"/>
              </w:rPr>
              <w:t>EcoSys</w:t>
            </w:r>
            <w:proofErr w:type="spellEnd"/>
          </w:p>
        </w:tc>
      </w:tr>
      <w:tr w:rsidR="0010479C" w:rsidRPr="00633D62" w:rsidTr="00B27DF3">
        <w:trPr>
          <w:jc w:val="center"/>
        </w:trPr>
        <w:tc>
          <w:tcPr>
            <w:tcW w:w="1716" w:type="dxa"/>
            <w:vAlign w:val="center"/>
          </w:tcPr>
          <w:p w:rsidR="0010479C" w:rsidRPr="00633D62" w:rsidRDefault="0010479C" w:rsidP="00B27D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3D62">
              <w:rPr>
                <w:rFonts w:ascii="Arial" w:hAnsi="Arial" w:cs="Arial"/>
                <w:sz w:val="18"/>
                <w:szCs w:val="18"/>
              </w:rPr>
              <w:t>ZWICKE M</w:t>
            </w:r>
          </w:p>
        </w:tc>
        <w:tc>
          <w:tcPr>
            <w:tcW w:w="3969" w:type="dxa"/>
            <w:vAlign w:val="center"/>
          </w:tcPr>
          <w:p w:rsidR="0010479C" w:rsidRPr="00633D62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33D62">
              <w:rPr>
                <w:rFonts w:ascii="Arial" w:hAnsi="Arial" w:cs="Arial"/>
                <w:bCs/>
                <w:iCs/>
                <w:sz w:val="18"/>
                <w:szCs w:val="18"/>
              </w:rPr>
              <w:t>Culture associée Colza-Trèfle en conditions d’azote limitantes</w:t>
            </w:r>
          </w:p>
        </w:tc>
        <w:tc>
          <w:tcPr>
            <w:tcW w:w="1275" w:type="dxa"/>
            <w:vAlign w:val="center"/>
          </w:tcPr>
          <w:p w:rsidR="0010479C" w:rsidRPr="00633D62" w:rsidRDefault="0010479C" w:rsidP="00B27D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3D62">
              <w:rPr>
                <w:rFonts w:ascii="Arial" w:hAnsi="Arial" w:cs="Arial"/>
                <w:sz w:val="18"/>
                <w:szCs w:val="18"/>
                <w:lang w:val="en-US"/>
              </w:rPr>
              <w:t>2015-2016</w:t>
            </w:r>
          </w:p>
        </w:tc>
        <w:tc>
          <w:tcPr>
            <w:tcW w:w="4395" w:type="dxa"/>
            <w:vAlign w:val="center"/>
          </w:tcPr>
          <w:p w:rsidR="0010479C" w:rsidRPr="00633D62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633D6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Plusieurs</w:t>
            </w:r>
            <w:proofErr w:type="spellEnd"/>
            <w:r w:rsidRPr="00633D6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articles à </w:t>
            </w:r>
            <w:proofErr w:type="spellStart"/>
            <w:r w:rsidRPr="00633D6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soumettre</w:t>
            </w:r>
            <w:proofErr w:type="spellEnd"/>
          </w:p>
        </w:tc>
        <w:tc>
          <w:tcPr>
            <w:tcW w:w="1661" w:type="dxa"/>
            <w:vAlign w:val="center"/>
          </w:tcPr>
          <w:p w:rsidR="0010479C" w:rsidRPr="00633D62" w:rsidRDefault="0010479C" w:rsidP="00B27D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3D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</w:p>
        </w:tc>
        <w:tc>
          <w:tcPr>
            <w:tcW w:w="2127" w:type="dxa"/>
            <w:vAlign w:val="center"/>
          </w:tcPr>
          <w:p w:rsidR="0010479C" w:rsidRPr="00633D62" w:rsidRDefault="0010479C" w:rsidP="00B27D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>Hedde</w:t>
            </w:r>
            <w:proofErr w:type="spellEnd"/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M, INRA, UMR </w:t>
            </w:r>
            <w:proofErr w:type="spellStart"/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>Ecosys</w:t>
            </w:r>
            <w:proofErr w:type="spellEnd"/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 ; </w:t>
            </w:r>
            <w:proofErr w:type="spellStart"/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>Gardarin</w:t>
            </w:r>
            <w:proofErr w:type="spellEnd"/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A, </w:t>
            </w:r>
            <w:proofErr w:type="spellStart"/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>AgroParisTech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>,</w:t>
            </w:r>
            <w:r w:rsidRPr="00633D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UMR Agronomie</w:t>
            </w:r>
          </w:p>
        </w:tc>
      </w:tr>
      <w:tr w:rsidR="0010479C" w:rsidRPr="00633D62" w:rsidTr="00B27DF3">
        <w:trPr>
          <w:jc w:val="center"/>
        </w:trPr>
        <w:tc>
          <w:tcPr>
            <w:tcW w:w="1716" w:type="dxa"/>
            <w:vAlign w:val="center"/>
          </w:tcPr>
          <w:p w:rsidR="0010479C" w:rsidRPr="005A40A8" w:rsidRDefault="0010479C" w:rsidP="00B27DF3">
            <w:pPr>
              <w:rPr>
                <w:rFonts w:ascii="Arial" w:hAnsi="Arial" w:cs="Arial"/>
                <w:sz w:val="18"/>
                <w:lang w:val="en-US"/>
              </w:rPr>
            </w:pPr>
            <w:r w:rsidRPr="005A40A8">
              <w:rPr>
                <w:rFonts w:ascii="Arial" w:hAnsi="Arial" w:cs="Arial"/>
                <w:sz w:val="18"/>
                <w:lang w:val="en-US"/>
              </w:rPr>
              <w:t xml:space="preserve">DIMASSI </w:t>
            </w:r>
            <w:proofErr w:type="spellStart"/>
            <w:r w:rsidRPr="005A40A8">
              <w:rPr>
                <w:rFonts w:ascii="Arial" w:hAnsi="Arial" w:cs="Arial"/>
                <w:sz w:val="18"/>
                <w:lang w:val="en-US"/>
              </w:rPr>
              <w:t>Bassem</w:t>
            </w:r>
            <w:proofErr w:type="spellEnd"/>
          </w:p>
        </w:tc>
        <w:tc>
          <w:tcPr>
            <w:tcW w:w="3969" w:type="dxa"/>
            <w:vAlign w:val="center"/>
          </w:tcPr>
          <w:p w:rsidR="0010479C" w:rsidRPr="005A40A8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</w:rPr>
            </w:pPr>
            <w:r w:rsidRPr="005A40A8">
              <w:rPr>
                <w:rFonts w:ascii="Arial" w:hAnsi="Arial" w:cs="Arial"/>
                <w:bCs/>
                <w:iCs/>
                <w:color w:val="000000"/>
                <w:sz w:val="18"/>
              </w:rPr>
              <w:t>Amélioration des inventaires nationaux d'émission de GES</w:t>
            </w:r>
          </w:p>
        </w:tc>
        <w:tc>
          <w:tcPr>
            <w:tcW w:w="1275" w:type="dxa"/>
            <w:vAlign w:val="center"/>
          </w:tcPr>
          <w:p w:rsidR="0010479C" w:rsidRPr="005A40A8" w:rsidRDefault="0010479C" w:rsidP="00B27DF3">
            <w:pPr>
              <w:rPr>
                <w:rFonts w:ascii="Arial" w:hAnsi="Arial" w:cs="Arial"/>
                <w:sz w:val="18"/>
                <w:lang w:val="en-US"/>
              </w:rPr>
            </w:pPr>
            <w:r w:rsidRPr="005A40A8">
              <w:rPr>
                <w:rFonts w:ascii="Arial" w:hAnsi="Arial" w:cs="Arial"/>
                <w:sz w:val="18"/>
                <w:lang w:val="en-US"/>
              </w:rPr>
              <w:t>2015</w:t>
            </w:r>
          </w:p>
        </w:tc>
        <w:tc>
          <w:tcPr>
            <w:tcW w:w="4395" w:type="dxa"/>
            <w:vAlign w:val="center"/>
          </w:tcPr>
          <w:p w:rsidR="0010479C" w:rsidRPr="005A40A8" w:rsidRDefault="0010479C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lang w:val="en-US"/>
              </w:rPr>
            </w:pPr>
            <w:proofErr w:type="spellStart"/>
            <w:r w:rsidRPr="005A40A8">
              <w:rPr>
                <w:rFonts w:ascii="Arial" w:hAnsi="Arial" w:cs="Arial"/>
                <w:bCs/>
                <w:iCs/>
                <w:color w:val="000000"/>
                <w:sz w:val="18"/>
                <w:lang w:val="en-US"/>
              </w:rPr>
              <w:t>Présentation</w:t>
            </w:r>
            <w:proofErr w:type="spellEnd"/>
            <w:r w:rsidRPr="005A40A8">
              <w:rPr>
                <w:rFonts w:ascii="Arial" w:hAnsi="Arial" w:cs="Arial"/>
                <w:bCs/>
                <w:iCs/>
                <w:color w:val="000000"/>
                <w:sz w:val="18"/>
                <w:lang w:val="en-US"/>
              </w:rPr>
              <w:t xml:space="preserve"> Avril 2016</w:t>
            </w:r>
          </w:p>
        </w:tc>
        <w:tc>
          <w:tcPr>
            <w:tcW w:w="1661" w:type="dxa"/>
            <w:vAlign w:val="center"/>
          </w:tcPr>
          <w:p w:rsidR="0010479C" w:rsidRPr="00D726E8" w:rsidRDefault="0010479C" w:rsidP="00B27DF3">
            <w:pPr>
              <w:pStyle w:val="TextBody"/>
              <w:spacing w:after="0"/>
              <w:rPr>
                <w:rFonts w:ascii="Arial" w:eastAsia="Times New Roman" w:hAnsi="Arial" w:cs="Arial"/>
                <w:sz w:val="18"/>
                <w:lang w:val="en-US"/>
              </w:rPr>
            </w:pPr>
            <w:r w:rsidRPr="00D726E8">
              <w:rPr>
                <w:rFonts w:ascii="Arial" w:eastAsia="Times New Roman" w:hAnsi="Arial" w:cs="Arial"/>
                <w:sz w:val="18"/>
                <w:lang w:val="en-US"/>
              </w:rPr>
              <w:t>QualiAgro</w:t>
            </w:r>
          </w:p>
          <w:p w:rsidR="0010479C" w:rsidRPr="005A40A8" w:rsidRDefault="0010479C" w:rsidP="00B27DF3">
            <w:pPr>
              <w:pStyle w:val="TextBody"/>
              <w:spacing w:after="0" w:line="240" w:lineRule="auto"/>
              <w:rPr>
                <w:rFonts w:ascii="Arial" w:hAnsi="Arial" w:cs="Arial"/>
                <w:color w:val="CC0000"/>
                <w:sz w:val="18"/>
              </w:rPr>
            </w:pPr>
            <w:r w:rsidRPr="00D726E8">
              <w:rPr>
                <w:rFonts w:ascii="Arial" w:hAnsi="Arial" w:cs="Arial"/>
                <w:sz w:val="18"/>
              </w:rPr>
              <w:t>PRO’spective</w:t>
            </w:r>
          </w:p>
        </w:tc>
        <w:tc>
          <w:tcPr>
            <w:tcW w:w="2127" w:type="dxa"/>
            <w:vAlign w:val="center"/>
          </w:tcPr>
          <w:p w:rsidR="0010479C" w:rsidRPr="005A40A8" w:rsidRDefault="0010479C" w:rsidP="00B27DF3">
            <w:pPr>
              <w:rPr>
                <w:rFonts w:ascii="Arial" w:hAnsi="Arial" w:cs="Arial"/>
                <w:sz w:val="18"/>
                <w:lang w:val="en-US"/>
              </w:rPr>
            </w:pPr>
            <w:r w:rsidRPr="005A40A8">
              <w:rPr>
                <w:rFonts w:ascii="Arial" w:hAnsi="Arial" w:cs="Arial"/>
                <w:sz w:val="18"/>
                <w:lang w:val="en-US"/>
              </w:rPr>
              <w:t xml:space="preserve">Martin M, INRA </w:t>
            </w:r>
            <w:proofErr w:type="spellStart"/>
            <w:r w:rsidRPr="005A40A8">
              <w:rPr>
                <w:rFonts w:ascii="Arial" w:hAnsi="Arial" w:cs="Arial"/>
                <w:sz w:val="18"/>
                <w:lang w:val="en-US"/>
              </w:rPr>
              <w:t>Infosol</w:t>
            </w:r>
            <w:proofErr w:type="spellEnd"/>
          </w:p>
        </w:tc>
      </w:tr>
    </w:tbl>
    <w:p w:rsidR="0010479C" w:rsidRDefault="0010479C">
      <w:bookmarkStart w:id="0" w:name="_GoBack"/>
      <w:bookmarkEnd w:id="0"/>
    </w:p>
    <w:sectPr w:rsidR="0010479C" w:rsidSect="00104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9C"/>
    <w:rsid w:val="0010479C"/>
    <w:rsid w:val="00A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10479C"/>
    <w:pPr>
      <w:suppressAutoHyphens/>
      <w:spacing w:after="140" w:line="288" w:lineRule="auto"/>
    </w:pPr>
    <w:rPr>
      <w:rFonts w:ascii="Calibri" w:eastAsia="Droid Sans Fallback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10479C"/>
    <w:pPr>
      <w:suppressAutoHyphens/>
      <w:spacing w:after="140" w:line="288" w:lineRule="auto"/>
    </w:pPr>
    <w:rPr>
      <w:rFonts w:ascii="Calibri" w:eastAsia="Droid Sans Fallback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Company>INRA UMR ECOSYS Thiverval Grignon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amichaud</cp:lastModifiedBy>
  <cp:revision>1</cp:revision>
  <dcterms:created xsi:type="dcterms:W3CDTF">2016-11-18T09:13:00Z</dcterms:created>
  <dcterms:modified xsi:type="dcterms:W3CDTF">2016-11-18T09:14:00Z</dcterms:modified>
</cp:coreProperties>
</file>